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Säffle kommunfullmäktige</w:t>
      </w:r>
    </w:p>
    <w:p>
      <w:pPr>
        <w:pStyle w:val="Heading1"/>
      </w:pPr>
      <w:r>
        <w:t xml:space="preserve">Fler lärlingsplatser med lokala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Säffle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Arbetslösheten bland unga är 9,2 % (Arbetsförmedlingen 2025). Säffle har stark verkstads- och pappersindustri men matchningen brister. Svenskt Näringsliv rankar kommunen 178 i företagsklimat, delvis på grund av kompetensförsörjning.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Säffle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25 nya lärlingsplatser per år i samarbete med lokala 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1,5 mnkr för handledarutbildning och subventioner.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upprätta avtal med minst 10 företag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resultatet årligen i arbetsmarknadsnämnden.</w:t>
      </w:r>
    </w:p>
    <w:p>
      <w:pPr>
        <w:spacing w:before="360"/>
      </w:pPr>
    </w:p>
    <w:p>
      <w:r>
        <w:t xml:space="preserve">Säffle,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Säffle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2026-07-14T01:27:48.539Z</dcterms:created>
  <dcterms:modified xsi:type="dcterms:W3CDTF">2026-07-14T01:27:48.539Z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